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การกู้เงินระยะสั้นเพื่อการบริหารหนี้ ในปีงบประมาณ พ.ศ. 2564 ครั้งที่ 1 (วงเงินที่ 2)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30,000,000,000.00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6 เดือน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12 พฤศจิกายน 2563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25 พฤศจิกายน 2563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25 พฤษภาคม 2564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ธนาคารทหารไทยธนชาต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0.79000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ธนาคารออมสิน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0.82000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0.88400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0.93000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ธนาคารกสิกรไทย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0.93420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ธนาคารยูโอบี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0.97000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1.00000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ธนาคารกรุงเทพ จำกัด (มหาชน)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1.05000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 - 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140,000,000,000.00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60,000,000,000.00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6 เดือน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3.17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 เดือน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0.795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11 พฤศจิกายน 2563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6 เดือน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12 พฤศจิกายน 2563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0.500000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