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RE. DEBT 2554/1/10 (AACP)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21 มกราคม 2554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21 มกราคม 2572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อลิอันซ์ อยุธยา แคปปิตอล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อลิอันซ์ อยุธยา แคปปิตอล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2553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2.250000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