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2568 ครั้งที่ 6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4,500,000,000.00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3 ปี 11 เดือน 6 วัน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17 เมษายน 2568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04 มิถุนายน 2568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10 พฤษภาคม 2572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+0.03990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+0.05790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ธนาคารกรุงศรีอยุธยา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+0.07600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+0.30000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4,500,000,000.00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THOR +0.03990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3 ปี 11 เดือน 6 วัน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2.03523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2.89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 ปี 11 เดือน 6 วัน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2.03523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 ระยะ 3 ปี 11 เดือน 6 วัน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16 เมษายน 2568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3 ปี 11 เดือน 6 วัน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17 เมษายน 2568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2.000000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/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