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2566 โดยการออกตั๋วสัญญาใช้เงินหมุนเวียนเพื่อการบริหารหนี้</w:t>
        <w:br/>
        <w:t>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ตุลาคม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12 เมษายน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