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2566 ครั้งที่ 2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1,139,447,368.39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