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2568 ครั้งที่ 4</w:t>
        <w:br/>
        <w:t>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07 พฤษภาคม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07 ตุลาคม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 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01 เมษายน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