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2569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14,198,000,000.00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ปี 29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มกราคม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ตุลาคม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