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2564Q3PNBDNew Issue300000000002021-06-182023-04-18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2564Q3PNBDNew Issue300000000002021-06-182023-04-18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BD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30,000,000,000.00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BD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1 ปี 10 เดือน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18 มิถุนายน 2564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18 เมษายน 2566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18 ธันวาคม และ 18 มิถุนายน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