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การกู้เงินกรณีรายจ่ายสูงกว่ารายได้โดยการออกตั๋วสัญญาใช้เงิน ในปีงบประมาณ พ.ศ.</w:t>
        <w:br/>
        <w:t>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การกู้เงินกรณีรายจ่ายสูงกว่ารายได้โดยการออกตั๋วสัญญาใช้เงิน ในปีงบประมาณ พ.ศ.</w:t>
        <w:br/>
        <w:t>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สิงหาคม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สิงหาคม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กุมภาพันธ์ และ 11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