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พ.ศ.2565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พ.ศ.2565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2,600,000,000.00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2,600,000,000.00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พฤษภาคม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พฤษภาคม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พฤศจิกายน และ 20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