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การกู้เงินระยะสั้นเพื่อปรับโครงสร้างหนี้ภายใต้ พ.ร.ก.</w:t>
        <w:br/>
        <w:t>กู้เงินโควิด-19โดยการออกตั๋วสัญญาใช้เงินในปีงบประมาณ พ.ศ. 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การกู้เงินระยะสั้นเพื่อปรับโครงสร้างหนี้ภายใต้ พ.ร.ก.</w:t>
        <w:br/>
        <w:t>กู้เงินโควิด-19โดยการออกตั๋วสัญญาใช้เงินในปีงบประมาณ พ.ศ. 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17,800,000,000.00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