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>TL กค/002</w:t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การกู้เงินโดยการทำสัญญากู้ยืมเงิน (Term Loan) เพื่อชดเชยการขาดดุลงบประมาณ</w:t>
        <w:br/>
        <w:t>ในปีงบประมาณ พ.ศ. 2566 ครั้งที่ 1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การกู้เงินโดยการทำสัญญากู้ยืมเงิน (Term Loan) เพื่อชดเชยการขาดดุลงบประมาณ</w:t>
        <w:br/>
        <w:t>ในปีงบประมาณ พ.ศ. 2566 ครั้งที่ 1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3 ปี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30,356,249,000.00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2566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พ.ร.บ.การบริหารหนี้สาธารณะ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30,356,249,000.00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2,000,000,000.00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18 กันยายน 2566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27 กันยายน 2566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27 กันยายน 2569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ชำระดอกเบี้ยในวันเดียวกับวันชำระคืนต้นเงินกู้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18 กันยายน 2566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 TL 002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เจ้าหน้าที่ตรวจรับ</w:t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>998</w:t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