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เพื่อให้กู้ต่อแก่การรถไฟแห่งประเทศไทยในปีงบประมาณ</w:t>
        <w:br/>
        <w:t>พ.ศ. 2567 ครั้งที่ 2 (โครงการรถไฟชานเมือง สายสีแดง ช่วงบางซื่อ-รังสิต ระยะที่ 3</w:t>
        <w:br/>
        <w:t>(ส่วนของงานระบบไฟฟ้าและเครื่องกล))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เพื่อให้กู้ต่อแก่การรถไฟแห่งประเทศไทยในปีงบประมาณ</w:t>
        <w:br/>
        <w:t>พ.ศ. 2567 ครั้งที่ 2 (โครงการรถไฟชานเมือง สายสีแดง ช่วงบางซื่อ-รังสิต ระยะที่ 3</w:t>
        <w:br/>
        <w:t>(ส่วนของงานระบบไฟฟ้าและเครื่องกล))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2567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1,294,728,469.50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1,294,728,469.50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22 มกราคม 2567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22 มกราคม 2571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22 กรกฎาคม และ 22 มกราคม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