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ONL FY B.E 2567/1/1 (BBL) (SRT) (Jira - Khon Khean)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ONL FY B.E 2567/1/1 (BBL) (SRT) (Jira - Khon Khean)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พฤศจิกายน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15 พฤษภาคม และ 15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พฤศจิกายน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