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5307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6 (โครงการรถไฟชานเมืองสายสีแดง</w:t>
        <w:br/>
        <w:t>ช่วงบางซื่อ-รังสิต ระยะที่ 3 (ส่วนของงานระบบไฟฟ้าและเครื่องกล))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6 (โครงการรถไฟชานเมืองสายสีแดง</w:t>
        <w:br/>
        <w:t>ช่วงบางซื่อ-รังสิต ระยะที่ 3 (ส่วนของงานระบบไฟฟ้าและเครื่องกล))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1,016,000,000.00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1,016,000,000.00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กรกฎาคม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กรกฎาคม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</w:t>
              <w:br/>
              <w:t>บวก/ลบ ส่วนต่าง (Spread) (ทศนิยมไม่เกิน 5 ตำแหน่ง) </w:t>
              <w:br/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มกราคม และ 19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  <w:br/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