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การกู้เงินเพื่อให้ต่อแก่การรถไฟแห่งประเทศไทย </w:t>
        <w:br/>
        <w:t>ในปิงประมาณ พ.ศ. 2567 ครั้งที่ 2</w:t>
        <w:br/>
        <w:t>การกู้เงินเพื่อให้กู้ต่อแก่ รฟท. สำหรับโครงการก่อสร้างทางรถไฟสายเด่นชัย -</w:t>
        <w:br/>
        <w:t>เชียงราย - เชียงของ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การกู้เงินเพื่อให้ต่อแก่การรถไฟแห่งประเทศไทย </w:t>
        <w:br/>
        <w:t>ในปิงประมาณ พ.ศ. 2567 ครั้งที่ 2</w:t>
        <w:br/>
        <w:t>การกู้เงินเพื่อให้กู้ต่อแก่ รฟท. สำหรับโครงการก่อสร้างทางรถไฟสายเด่นชัย -</w:t>
        <w:br/>
        <w:t>เชียงราย - เชียงของ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กุมภาพันธ์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กุมภาพันธ์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</w:t>
              <w:br/>
              <w:t>ตามประกาศธนาคารแห่งประเทศไทย เป็นฐานในการคำนวณดอกเบี้ยเบี้ยเงินกู้</w:t>
              <w:br/>
              <w:t>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อัตราดอกเบี่ ยงวดแรกจะใช้อัตราดอกเบี้ย BIBOR6M ตามประกาศธนาคาร</w:t>
              <w:br/>
              <w:t>แห่งประทศไทย ณ วันเบิกเงินกู้ครั้งแรก สำหรับการอัตรหยกเบี้ยในใดต่อ ๆ ไป จะใช้</w:t>
              <w:br/>
              <w:t>อัตราดอกเบี้ย BIBOR 6M ณ วันครบกำหนดชำระดอกเบี้ย เพื่อใช้คำนวณดอกเบี้ยในช่วง</w:t>
              <w:br/>
              <w:t>ระยะเวลา 6 เดือนถัดไป หากวันครบกำหนดชำระตอกเบี้ยตรงกับวันหยุดตามประกาศ</w:t>
              <w:br/>
              <w:t>ธนาคารแห่งประเทศไทยให้ใช้อัตราดอกเบี้ย BBOR 6M 6M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สิงหาคม และ 09 กุมภาพันธ์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ชำระคืนต้นเงินกู้ก่อนครบกำหนดได้ทั้งจำนวนหรือนหรือบางส่วน โดยไม่มีค่าธรรมเนี่ยม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สำหรับการกู้เงินดังกล่าวข้างต้น กระทรวงการคลังจะจัดสรรวงเงินกู้ให้กับสถาบันการเงิน</w:t>
              <w:br/>
              <w:t>ที่เสนออัตราดอกเบี้ยต่ำสุดก่อนเป็นลำดับแรก แล้วจึงจึงจัดสรรให้แก่ผู้เสนอประมูลที่เสนออัตราดอกเบี้ยสูงขึ้นไป</w:t>
              <w:br/>
              <w:t>ตามลำดับจนครบวงเงิน หากมีผู้เสนอประมูลอัตราดอกเบี้ยเท่ากันหลายราย และจำนวนเงินที่เสนอประมูลของ</w:t>
              <w:br/>
              <w:t>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</w:t>
              <w:br/>
              <w:t>ประมูลในกลุ่มดังกล่าวตามสัดส่วนจำนวนเงินที่เสนอประมูล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