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2568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6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ธันวาคม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20 มิถุนายน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02 278 7878 ต่อ 40314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