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</w:t>
        <w:br/>
        <w:t>พ.ศ.2568 ครั้งที่ 1 (เบิกครั้งที่ 1 )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การกู้เงินโดยการออกตั๋วสัญญาใช้เงินหมุนเวียนเพื่อการบริหารหนี้ ในปีงบประมาณ</w:t>
        <w:br/>
        <w:t>พ.ศ.2568 ครั้งที่ 1 (เบิกครั้งที่ 1 )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17,000,000,000.00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พฤศจิกายน 2567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BIBOR 3M</w:t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>02 278 7878 ต่อ 40314</w:t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