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มิถุนายน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23 มิถุนายน และ 23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กระทรวงการคลังจะจัดสรรวงเงินกู้ให้สถาบันการเงินที่เสนออัตราดอกเบี้ยต่ำสุดก่อนเป็นลำดับแรก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</w:t>
              <w:br/>
              <w:t>หากมีผู้เสนอประมูลอัตราดอกเบี้ยเท่aากันหลายราย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  ตามสัดส่วนจำนวนเงินที่เสนอประมูล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