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 2564 ครั้งที่ 4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13 พฤษภาคม 2564 - 13 พฤษภาคม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พฤษภาคม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13 พฤศจิกายน และ 13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