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 ช่วยเหลือกองทุนเพื่อการฟื้นฟูฯ ระยะที่สอง)ในปีงบประมาณ พ.ศ.2566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14,823,000,000.00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16 มิถุนายน 2566 - 16 มิถุนายน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มิถุนายน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มิถุนายน และ 16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