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ตั๋วสัญญาใช้เงินระยะสั้น เพื่อการบริหารหนี้ในปีงบประมาณ พ.ศ. 2566 ครั้งที่ 4 (วงเงินที่ 2)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ระยะสั้น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เดือน (วันที่ 30 สิงหาคม 2566 - 30 พฤศจิกายน 2566)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30 สิงหาคม 2566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11 สิงหาคม 2566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นายบุญชัย จรัสแสงสมบูรณ์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