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 พ.ศ. 2567 ครั้งที่ 1 (โครงการรถไฟชานเมือง สายสีแดง ช่วงบางซื่อ-รังสิต ระยะที่ 3 (ส่วนของงานระบบไฟฟ้าและเครื่องกล))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1,279,000,000.00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22 มกราคม 2567 - 22 มกราคม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มกราคม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</w:t>
              <w:br/>
              <w:t>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22 กรกฎาคม และ 22 มกราคม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 รักษาราชการแทนรองปลัดกระทรวงการคลัง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