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รุงเทพมหานครในปีงบประมาณ พ.ศ.2568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01 ตุลาคม 2567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465,431,156.63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(วันที่ 19 ธันวาคม 2567 - 19 ธันวาคม 2570)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19 ธันวาคม 2567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19 มิถุนายน และ 19 ธันวาคม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ผู้ตรวจราชการกระทรวงการคลัง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