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(พ.ร.ก.ช่วยเหลือกองทุนเพื่อการฟื้นฟูฯ) 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32,453,000,000.00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4 เดือน 24 วัน (วันที่ 17 มิถุนายน 2568 - 10 พฤศจิกายน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</w:t>
              <w:br/>
              <w:t>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