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/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(-)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(-)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 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15 พฤษภาคม และชำระดอกเบี้ยงวดสุดท้ายวันที่ 15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15 พฤษภาคม และ 15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