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/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(-)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(-)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11,700,000,000.00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 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01 มีนาคม และชำระดอกเบี้ยงวดสุดท้ายวันที่ 01 กันยายน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01 มีนาคม และ 01 กันยายน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