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11/2566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2566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ธนาคารกรุงศรีอยุธยา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2,000,000,000.00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(สองพันล้านบาทถ้วน) ให้แก่ธนาคารกรุงศรีอยุธยา จำกัด (มหาชน) ในวันที่ 13 กุมภาพันธ์ พ.ศ. 2570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บวกด้วยร้อยละ 0.13500 ต่อปี ให้แก่ธนาคารกรุงศรีอยุธยา จำกัด (มหาชน) ปีละ 2 งวด ในวันที่ 13 สิงหาคม และ 13 กุมภาพันธ์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