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12/2566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2566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ธนาคารกรุงศรีอยุธยา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(หนึ่งพันล้านบาทถ้วน) ให้แก่ธนาคารกรุงศรีอยุธยา จำกัด (มหาชน) ในวันที่ 13 กุมภาพันธ์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0.15500 ต่อปี ให้แก่ธนาคารกรุงศรีอยุธยา จำกัด (มหาชน) ปีละ 2 งวด ในวันที่ 13 สิงหาคม และ 13 กุมภาพันธ์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