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ให้แก่ธนาคารกสิกรไทย จำกัด (มหาชน) ในวันที่ 10 มกราคม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0.14300 ต่อปี ให้แก่ธนาคารกสิกรไทย จำกัด (มหาชน)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