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มกราคม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พร้อมดอกเบี้ยในอัตราดอกเบี้ยคงที่ร้อยละ 2.24700 ต่อปี ให้แก่ธนาคารกรุงไทย จำกัด (มหาชน) ในวันที่ 17 มีนาคม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