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7,000,000,000.00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(เจ็ดพันล้านบาทถ้วน) พร้อมดอกเบี้ยในอัตราดอกเบี้ยคงที่ร้อยละ 2.26300 ต่อปี ให้แก่ธนาคารกรุงไทย จำกัด (มหาชน) ในวันที่ 17 มีนาคม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