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70/2567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(สองหมื่นล้านบาทถ้วน) ให้แก่ธนาคารกรุงไทย จำกัด (มหาชน) ในวันที่ 10 กุมภาพันธ์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0.10900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