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07 พฤษภาคม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1.90800 ต่อปี ให้แก่ธนาคารกรุงไทย จำกัด (มหาชน) ในวันที่ 07 ตุลาคม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