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28/2568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14 พฤษภาคม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(หนึ่งหมื่นห้าพันล้านบาทถ้วน) พร้อมดอกเบี้ยในอัตราดอกเบี้ยคงที่ร้อยละ 1.97900 ต่อปี ให้แก่ธนาคารกรุงไทย จำกัด (มหาชน) ในวันที่ 14 กรกฎาคม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