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39/2568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14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(ห้าพันล้านบาทถ้วน) พร้อมดอกเบี้ยในอัตราดอกเบี้ยคงที่ร้อยละ 1.75000 ต่อปี ให้แก่ธนาคารกสิกรไทย จำกัด (มหาชน) ในวันที่ 14 กันยายน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