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24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(สามพันล้านบาทถ้วน) ให้แก่ธนาคารกรุงไทย จำกัด (มหาชน)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0.02300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