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24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(สามพันล้านบาทถ้วน) ให้แก่ธนาคารกรุงไทย จำกัด (มหาชน)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0.01000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